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uppressAutoHyphens w:val="true"/>
        <w:spacing w:before="24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56"/>
          <w:shd w:fill="auto" w:val="clear"/>
        </w:rPr>
        <w:t xml:space="preserve">Mini Glossario Assicurazione viaggio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auto" w:val="clear"/>
        </w:rPr>
        <w:t xml:space="preserve">Assicurato:</w:t>
      </w:r>
      <w:r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  <w:t xml:space="preserve"> si intende il soggetto nel cui interesse è stipulata la polizza e che beneficerà di eventuali indennizzi.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auto" w:val="clear"/>
        </w:rPr>
        <w:t xml:space="preserve">Contraente/Aderente:</w:t>
      </w:r>
      <w:r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  <w:t xml:space="preserve"> il soggetto che stipula la polizza, che può coincidere o meno con l’assicurato.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Copertura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è l'impegno assunto dall'assicuratore a corrispondere un risarcimento all'assicurato (o ai suoi beneficiari).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Source Sans Pro" w:hAnsi="Source Sans Pro" w:cs="Source Sans Pro" w:eastAsia="Source Sans Pro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u w:val="single"/>
          <w:shd w:fill="auto" w:val="clear"/>
        </w:rPr>
        <w:t xml:space="preserve">Danno materiale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u w:val="single"/>
          <w:shd w:fill="auto" w:val="clear"/>
        </w:rPr>
        <w:t xml:space="preserve">: Qualsiasi alterazione, deterioramento, perdita e/o distruzione di un bene o di una sostanza, inclusa qualunque lesione fisica subita da animali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auto" w:val="clear"/>
        </w:rPr>
        <w:t xml:space="preserve">Franchigia:</w:t>
      </w:r>
      <w:r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  <w:t xml:space="preserve"> la parte di indennizzo o risarcimento, espressa in misura fissa, che rimane a carico dell’assicurato.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auto" w:val="clear"/>
        </w:rPr>
        <w:t xml:space="preserve">Indennizzo:</w:t>
      </w:r>
      <w:r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  <w:t xml:space="preserve"> la somma dovuta dalla società all’assicurato in caso di sinistro.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auto" w:val="clear"/>
        </w:rPr>
        <w:t xml:space="preserve">Massimale:</w:t>
      </w:r>
      <w:r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  <w:t xml:space="preserve"> la massima esposizione della società per ogni sinistro relativamente a danni a terzi.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auto" w:val="clear"/>
        </w:rPr>
        <w:t xml:space="preserve">Polizza: </w:t>
      </w:r>
      <w:r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  <w:t xml:space="preserve">(vedi anche Assicurazione) il documento comprovante la natura e la portata del contratto.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auto" w:val="clear"/>
        </w:rPr>
        <w:t xml:space="preserve">Premio:</w:t>
      </w:r>
      <w:r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  <w:t xml:space="preserve"> la somma dovuta dal contraente alla società.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auto" w:val="clear"/>
        </w:rPr>
        <w:t xml:space="preserve">Risarcimento:</w:t>
      </w:r>
      <w:r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  <w:t xml:space="preserve"> la somma corrisposta dalla società al terzo danneggiato in caso di sinistro.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auto" w:val="clear"/>
        </w:rPr>
        <w:t xml:space="preserve">Scoperto: </w:t>
      </w:r>
      <w:r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  <w:t xml:space="preserve">percentuale dell’indennizzo o risarcimento che rimane a carico dell’assicurato.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auto" w:val="clear"/>
        </w:rPr>
        <w:t xml:space="preserve">Sinistro:</w:t>
      </w:r>
      <w:r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  <w:t xml:space="preserve"> il verificarsi dell’evento dannoso garantito in polizza.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auto" w:val="clear"/>
        </w:rPr>
        <w:t xml:space="preserve">Terzi: </w:t>
      </w:r>
      <w:r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  <w:t xml:space="preserve">le persone fisiche o giuridiche diverse dal contraente/assicurato.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Copyright: trickytravels 2022 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https://www.trickytravels.it/</w:t>
        </w:r>
      </w:hyperlink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trickytravels.it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